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Mismo mix, nueva presentación: New Mix presenta su nueva versión PET de 350 ml</w:t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1d1c1d"/>
          <w:highlight w:val="white"/>
          <w:rtl w:val="0"/>
        </w:rPr>
        <w:t xml:space="preserve">CDMX, México a 29 de julio de 2021 - </w:t>
      </w:r>
      <w:r w:rsidDel="00000000" w:rsidR="00000000" w:rsidRPr="00000000">
        <w:rPr>
          <w:rtl w:val="0"/>
        </w:rPr>
        <w:t xml:space="preserve">Justo a tiempo para la temporada más movida del año, New Mix celebra la expansión de su familia con su nueva presentación PET de 350 ml. Los sabores que ya son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clásicos se transforman para ser más prácticos.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New Mix busca siempre la innovación con empaques más cómodos y seguros que además se adapten al estilo de vida actual. Por eso, le damos un giro a los sabores favoritos: New Mix Paloma, el auténtico cóctel con toronja y New Mix Vampiro, con todo el sabor de la sangrita preparada, ambos mezclados con auténtico  tequila el Jimador.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highlight w:val="red"/>
        </w:rPr>
      </w:pPr>
      <w:r w:rsidDel="00000000" w:rsidR="00000000" w:rsidRPr="00000000">
        <w:rPr>
          <w:rtl w:val="0"/>
        </w:rPr>
        <w:t xml:space="preserve">Creamos esta nueva presentación ideal para transportarla a donde vayas: mientras disfrutas de una tardecita en la playa, en una reunión con amigos o una carne asada. Sin importar el lugar, nuestro New Mix de 350 ml estará ahí.</w:t>
      </w:r>
      <w:r w:rsidDel="00000000" w:rsidR="00000000" w:rsidRPr="00000000">
        <w:rPr>
          <w:highlight w:val="red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Además, el nuevo New Mix de 350 ml permite llevar su sabor a donde </w:t>
      </w:r>
      <w:r w:rsidDel="00000000" w:rsidR="00000000" w:rsidRPr="00000000">
        <w:rPr>
          <w:rtl w:val="0"/>
        </w:rPr>
        <w:t xml:space="preserve">sea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Ahora se puede abrir y cerrar</w:t>
      </w:r>
      <w:r w:rsidDel="00000000" w:rsidR="00000000" w:rsidRPr="00000000">
        <w:rPr>
          <w:b w:val="1"/>
          <w:color w:val="00b050"/>
          <w:rtl w:val="0"/>
        </w:rPr>
        <w:t xml:space="preserve"> </w:t>
      </w:r>
      <w:r w:rsidDel="00000000" w:rsidR="00000000" w:rsidRPr="00000000">
        <w:rPr>
          <w:rtl w:val="0"/>
        </w:rPr>
        <w:t xml:space="preserve">cuantas veces sea necesario, transportarlo en tu bolsa o en una hielera portátil. Ya no tienes que preocuparte por si se derrama.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Encuentra 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mix en tus tienditas de la esquina, tiendas de conveniencia y supermercados favoritos por el mismo precio de siempre. Apostamos por un mundo más divertido y práctico siempre comprometidos con el medio ambiente.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El sabor de New Mix Vampiro y New Mix Paloma tienen nueva versión. El mismo mix, pero con un nuevo tamaño.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281.7391304347826" w:lineRule="auto"/>
        <w:jc w:val="center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***</w:t>
      </w:r>
    </w:p>
    <w:p w:rsidR="00000000" w:rsidDel="00000000" w:rsidP="00000000" w:rsidRDefault="00000000" w:rsidRPr="00000000" w14:paraId="00000011">
      <w:pPr>
        <w:shd w:fill="ffffff" w:val="clear"/>
        <w:spacing w:after="160" w:line="281.7391304347826" w:lineRule="auto"/>
        <w:jc w:val="both"/>
        <w:rPr>
          <w:rFonts w:ascii="Open Sans" w:cs="Open Sans" w:eastAsia="Open Sans" w:hAnsi="Open Sans"/>
          <w:b w:val="1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16"/>
          <w:szCs w:val="16"/>
          <w:rtl w:val="0"/>
        </w:rPr>
        <w:t xml:space="preserve">Acerca de New Mix            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widowControl w:val="0"/>
        <w:spacing w:after="220" w:lineRule="auto"/>
        <w:jc w:val="both"/>
        <w:rPr>
          <w:rFonts w:ascii="Open Sans" w:cs="Open Sans" w:eastAsia="Open Sans" w:hAnsi="Open Sans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En 1997 nace New Mix, la primera bebida premezclada lista para tomar con Tequila el Jimador. New Mix cuenta con una variedad de mezclas con sabores increíbles: Paloma, Vampiro, Mineral Limón y Mineral Naranja.</w:t>
      </w:r>
    </w:p>
    <w:p w:rsidR="00000000" w:rsidDel="00000000" w:rsidP="00000000" w:rsidRDefault="00000000" w:rsidRPr="00000000" w14:paraId="00000013">
      <w:pPr>
        <w:widowControl w:val="0"/>
        <w:spacing w:after="220" w:lineRule="auto"/>
        <w:jc w:val="both"/>
        <w:rPr>
          <w:rFonts w:ascii="Open Sans" w:cs="Open Sans" w:eastAsia="Open Sans" w:hAnsi="Open Sans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New Mix es una marca propiedad de Brown-Forman Corporation.</w:t>
      </w:r>
    </w:p>
    <w:p w:rsidR="00000000" w:rsidDel="00000000" w:rsidP="00000000" w:rsidRDefault="00000000" w:rsidRPr="00000000" w14:paraId="00000014">
      <w:pPr>
        <w:jc w:val="both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Open Sans" w:cs="Open Sans" w:eastAsia="Open Sans" w:hAnsi="Open Sans"/>
          <w:b w:val="1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16"/>
          <w:szCs w:val="16"/>
          <w:rtl w:val="0"/>
        </w:rPr>
        <w:t xml:space="preserve">Síguenos en:</w:t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Facebook: </w:t>
      </w:r>
      <w:hyperlink r:id="rId6">
        <w:r w:rsidDel="00000000" w:rsidR="00000000" w:rsidRPr="00000000">
          <w:rPr>
            <w:rFonts w:ascii="Open Sans" w:cs="Open Sans" w:eastAsia="Open Sans" w:hAnsi="Open Sans"/>
            <w:color w:val="666666"/>
            <w:sz w:val="16"/>
            <w:szCs w:val="16"/>
            <w:u w:val="single"/>
            <w:rtl w:val="0"/>
          </w:rPr>
          <w:t xml:space="preserve">https://www.facebook.com/NewMixOficial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Instagram: </w:t>
      </w:r>
      <w:hyperlink r:id="rId7">
        <w:r w:rsidDel="00000000" w:rsidR="00000000" w:rsidRPr="00000000">
          <w:rPr>
            <w:rFonts w:ascii="Open Sans" w:cs="Open Sans" w:eastAsia="Open Sans" w:hAnsi="Open Sans"/>
            <w:color w:val="666666"/>
            <w:sz w:val="16"/>
            <w:szCs w:val="16"/>
            <w:u w:val="single"/>
            <w:rtl w:val="0"/>
          </w:rPr>
          <w:t xml:space="preserve">https://www.instagram.com/newmixmx/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YouTube: </w:t>
      </w:r>
      <w:hyperlink r:id="rId8">
        <w:r w:rsidDel="00000000" w:rsidR="00000000" w:rsidRPr="00000000">
          <w:rPr>
            <w:rFonts w:ascii="Open Sans" w:cs="Open Sans" w:eastAsia="Open Sans" w:hAnsi="Open Sans"/>
            <w:color w:val="666666"/>
            <w:sz w:val="16"/>
            <w:szCs w:val="16"/>
            <w:u w:val="single"/>
            <w:rtl w:val="0"/>
          </w:rPr>
          <w:t xml:space="preserve">https://www.youtube.com/channel/UClcwd8J_5nsgGsQ9wUFrYuA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16"/>
          <w:szCs w:val="16"/>
          <w:rtl w:val="0"/>
        </w:rPr>
        <w:t xml:space="preserve">Contacto para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16"/>
          <w:szCs w:val="16"/>
          <w:rtl w:val="0"/>
        </w:rPr>
        <w:t xml:space="preserve">Quantum PR Worldwide</w:t>
      </w: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                       </w:t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 Maribel López </w:t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55 2240 2298</w:t>
      </w:r>
    </w:p>
    <w:p w:rsidR="00000000" w:rsidDel="00000000" w:rsidP="00000000" w:rsidRDefault="00000000" w:rsidRPr="00000000" w14:paraId="0000001E">
      <w:pPr>
        <w:jc w:val="both"/>
        <w:rPr>
          <w:color w:val="666666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16"/>
          <w:szCs w:val="16"/>
          <w:rtl w:val="0"/>
        </w:rPr>
        <w:t xml:space="preserve">maribel</w:t>
      </w:r>
      <w:hyperlink r:id="rId9">
        <w:r w:rsidDel="00000000" w:rsidR="00000000" w:rsidRPr="00000000">
          <w:rPr>
            <w:rFonts w:ascii="Open Sans" w:cs="Open Sans" w:eastAsia="Open Sans" w:hAnsi="Open Sans"/>
            <w:color w:val="666666"/>
            <w:sz w:val="16"/>
            <w:szCs w:val="16"/>
            <w:u w:val="single"/>
            <w:rtl w:val="0"/>
          </w:rPr>
          <w:t xml:space="preserve">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14425" cy="106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4273"/>
                  <a:stretch>
                    <a:fillRect/>
                  </a:stretch>
                </pic:blipFill>
                <pic:spPr>
                  <a:xfrm>
                    <a:off x="0" y="0"/>
                    <a:ext cx="111442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jose@qprw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NewMixOficial" TargetMode="External"/><Relationship Id="rId7" Type="http://schemas.openxmlformats.org/officeDocument/2006/relationships/hyperlink" Target="https://www.instagram.com/newmixmx/" TargetMode="External"/><Relationship Id="rId8" Type="http://schemas.openxmlformats.org/officeDocument/2006/relationships/hyperlink" Target="https://www.youtube.com/channel/UClcwd8J_5nsgGsQ9wUFrYu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